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16570319" w:rsidR="008145D7" w:rsidRDefault="008145D7" w:rsidP="00A95138">
      <w:r>
        <w:t xml:space="preserve">Příloha č. </w:t>
      </w:r>
      <w:r w:rsidR="00C46A11">
        <w:t>7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0C20BD" w:rsidRPr="000C20BD">
        <w:rPr>
          <w:rStyle w:val="Tunpodbarven"/>
          <w:rFonts w:eastAsiaTheme="minorHAnsi"/>
        </w:rPr>
        <w:t>24</w:t>
      </w:r>
      <w:r w:rsidR="00910A74" w:rsidRPr="000C20BD">
        <w:rPr>
          <w:rStyle w:val="Tunpodbarven"/>
          <w:rFonts w:eastAsiaTheme="minorHAnsi"/>
        </w:rPr>
        <w:t>.2. a</w:t>
      </w:r>
      <w:r w:rsidR="008F128C" w:rsidRPr="000C20BD">
        <w:rPr>
          <w:rStyle w:val="Tunpodbarven"/>
          <w:rFonts w:eastAsiaTheme="minorHAnsi"/>
        </w:rPr>
        <w:t xml:space="preserve"> </w:t>
      </w:r>
      <w:r w:rsidR="000C20BD" w:rsidRPr="000C20BD">
        <w:rPr>
          <w:rStyle w:val="Tunpodbarven"/>
          <w:rFonts w:eastAsiaTheme="minorHAnsi"/>
        </w:rPr>
        <w:t>24</w:t>
      </w:r>
      <w:r w:rsidRPr="000C20BD">
        <w:rPr>
          <w:rStyle w:val="Tunpodbarven"/>
          <w:rFonts w:eastAsiaTheme="minorHAnsi"/>
        </w:rPr>
        <w:t xml:space="preserve">.3 </w:t>
      </w:r>
      <w:r w:rsidR="00910A74" w:rsidRPr="000C20BD">
        <w:rPr>
          <w:rStyle w:val="Tunpodbarven"/>
          <w:rFonts w:eastAsiaTheme="minorHAnsi"/>
        </w:rPr>
        <w:t>Zadávací dokumentace</w:t>
      </w:r>
      <w:r w:rsidRPr="000C20BD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C46A11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C46A11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C46A11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C46A11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C46A11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C46A11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C46A11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C46A11">
        <w:rPr>
          <w:highlight w:val="green"/>
        </w:rPr>
        <w:t>]</w:t>
      </w:r>
    </w:p>
    <w:p w14:paraId="36F9CEA7" w14:textId="20F74C43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C46A11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Pr="00A95138">
        <w:t>„</w:t>
      </w:r>
      <w:bookmarkEnd w:id="0"/>
      <w:r w:rsidR="00C46A11" w:rsidRPr="00C46A11">
        <w:rPr>
          <w:rStyle w:val="tun"/>
          <w:rFonts w:eastAsiaTheme="minorHAnsi"/>
        </w:rPr>
        <w:t>Pojištění odpovědnosti Správy železnic na rok 2026</w:t>
      </w:r>
      <w:r w:rsidR="0035553A">
        <w:rPr>
          <w:rStyle w:val="tun"/>
          <w:rFonts w:eastAsiaTheme="minorHAnsi"/>
        </w:rPr>
        <w:t xml:space="preserve"> - 2029</w:t>
      </w:r>
      <w:r w:rsidRPr="00A95138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</w:t>
      </w:r>
      <w:r w:rsidR="002D21D5">
        <w:rPr>
          <w:rFonts w:eastAsia="Calibri" w:cs="Times New Roman"/>
        </w:rPr>
        <w:lastRenderedPageBreak/>
        <w:t>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C46A11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C46A11">
        <w:rPr>
          <w:highlight w:val="green"/>
        </w:rPr>
        <w:t>]</w:t>
      </w:r>
      <w:r>
        <w:t xml:space="preserve"> dne </w:t>
      </w:r>
      <w:r w:rsidR="00E75DFF" w:rsidRPr="00C46A11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C46A11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8817E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1369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E375B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D8E7D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EDD14" w14:textId="77777777" w:rsidR="001B1B7B" w:rsidRDefault="001B1B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40D8F"/>
    <w:rsid w:val="00072C1E"/>
    <w:rsid w:val="00091A84"/>
    <w:rsid w:val="000C20BD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1B1B7B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553A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511D"/>
    <w:rsid w:val="00996CB8"/>
    <w:rsid w:val="009B14A9"/>
    <w:rsid w:val="009B2E97"/>
    <w:rsid w:val="009E07F4"/>
    <w:rsid w:val="009F392E"/>
    <w:rsid w:val="00A6177B"/>
    <w:rsid w:val="00A66136"/>
    <w:rsid w:val="00A909A0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6A11"/>
    <w:rsid w:val="00C47AE3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1A84"/>
    <w:rsid w:val="0009490F"/>
    <w:rsid w:val="00451C58"/>
    <w:rsid w:val="004F7E9F"/>
    <w:rsid w:val="0099511D"/>
    <w:rsid w:val="00A909A0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55D69D-0FBC-4376-9954-D4EDCDA4A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24bd7335-73fa-4289-ac41-e1198b3533d9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483</Words>
  <Characters>2850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Kleprlíková Hana, Bc.</cp:lastModifiedBy>
  <cp:revision>5</cp:revision>
  <cp:lastPrinted>2017-11-28T17:18:00Z</cp:lastPrinted>
  <dcterms:created xsi:type="dcterms:W3CDTF">2025-07-28T08:43:00Z</dcterms:created>
  <dcterms:modified xsi:type="dcterms:W3CDTF">2025-08-04T12:21:00Z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